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7"/>
        <w:gridCol w:w="18480"/>
        <w:gridCol w:w="33"/>
        <w:gridCol w:w="78"/>
      </w:tblGrid>
      <w:tr>
        <w:trPr>
          <w:trHeight w:val="132"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p>
            <w:pPr>
              <w:pStyle w:val="EmptyCellLayoutStyle"/>
              <w:spacing w:after="0" w:line="240" w:lineRule="auto"/>
            </w:pPr>
          </w:p>
        </w:tc>
        <w:tc>
          <w:tcPr>
            <w:tcW w:w="33" w:type="dxa"/>
          </w:tcPr>
          <w:p>
            <w:pPr>
              <w:pStyle w:val="EmptyCellLayoutStyle"/>
              <w:spacing w:after="0" w:line="240" w:lineRule="auto"/>
            </w:pPr>
          </w:p>
        </w:tc>
        <w:tc>
          <w:tcPr>
            <w:tcW w:w="78"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tbl>
            <w:tblPr>
              <w:tblCellMar>
                <w:top w:w="0" w:type="dxa"/>
                <w:left w:w="0" w:type="dxa"/>
                <w:bottom w:w="0" w:type="dxa"/>
                <w:right w:w="0" w:type="dxa"/>
              </w:tblCellMar>
            </w:tblPr>
            <w:tblGrid>
              <w:gridCol w:w="18480"/>
            </w:tblGrid>
            <w:tr>
              <w:trPr>
                <w:trHeight w:val="262" w:hRule="atLeast"/>
              </w:trPr>
              <w:tc>
                <w:tcPr>
                  <w:tcW w:w="184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Naziv naručitelja: Sveučilišna knjižnica Rijeka</w:t>
                  </w:r>
                </w:p>
              </w:tc>
            </w:tr>
          </w:tbl>
          <w:p>
            <w:pPr>
              <w:spacing w:after="0" w:line="240" w:lineRule="auto"/>
            </w:pPr>
          </w:p>
        </w:tc>
        <w:tc>
          <w:tcPr>
            <w:tcW w:w="33" w:type="dxa"/>
          </w:tcPr>
          <w:p>
            <w:pPr>
              <w:pStyle w:val="EmptyCellLayoutStyle"/>
              <w:spacing w:after="0" w:line="240" w:lineRule="auto"/>
            </w:pPr>
          </w:p>
        </w:tc>
        <w:tc>
          <w:tcPr>
            <w:tcW w:w="78"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p>
            <w:pPr>
              <w:pStyle w:val="EmptyCellLayoutStyle"/>
              <w:spacing w:after="0" w:line="240" w:lineRule="auto"/>
            </w:pPr>
          </w:p>
        </w:tc>
        <w:tc>
          <w:tcPr>
            <w:tcW w:w="33" w:type="dxa"/>
          </w:tcPr>
          <w:p>
            <w:pPr>
              <w:pStyle w:val="EmptyCellLayoutStyle"/>
              <w:spacing w:after="0" w:line="240" w:lineRule="auto"/>
            </w:pPr>
          </w:p>
        </w:tc>
        <w:tc>
          <w:tcPr>
            <w:tcW w:w="78"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tbl>
            <w:tblPr>
              <w:tblCellMar>
                <w:top w:w="0" w:type="dxa"/>
                <w:left w:w="0" w:type="dxa"/>
                <w:bottom w:w="0" w:type="dxa"/>
                <w:right w:w="0" w:type="dxa"/>
              </w:tblCellMar>
            </w:tblPr>
            <w:tblGrid>
              <w:gridCol w:w="18480"/>
            </w:tblGrid>
            <w:tr>
              <w:trPr>
                <w:trHeight w:val="262" w:hRule="atLeast"/>
              </w:trPr>
              <w:tc>
                <w:tcPr>
                  <w:tcW w:w="184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Godina: 2020</w:t>
                  </w:r>
                </w:p>
              </w:tc>
            </w:tr>
          </w:tbl>
          <w:p>
            <w:pPr>
              <w:spacing w:after="0" w:line="240" w:lineRule="auto"/>
            </w:pPr>
          </w:p>
        </w:tc>
        <w:tc>
          <w:tcPr>
            <w:tcW w:w="33" w:type="dxa"/>
          </w:tcPr>
          <w:p>
            <w:pPr>
              <w:pStyle w:val="EmptyCellLayoutStyle"/>
              <w:spacing w:after="0" w:line="240" w:lineRule="auto"/>
            </w:pPr>
          </w:p>
        </w:tc>
        <w:tc>
          <w:tcPr>
            <w:tcW w:w="78"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p>
            <w:pPr>
              <w:pStyle w:val="EmptyCellLayoutStyle"/>
              <w:spacing w:after="0" w:line="240" w:lineRule="auto"/>
            </w:pPr>
          </w:p>
        </w:tc>
        <w:tc>
          <w:tcPr>
            <w:tcW w:w="33" w:type="dxa"/>
          </w:tcPr>
          <w:p>
            <w:pPr>
              <w:pStyle w:val="EmptyCellLayoutStyle"/>
              <w:spacing w:after="0" w:line="240" w:lineRule="auto"/>
            </w:pPr>
          </w:p>
        </w:tc>
        <w:tc>
          <w:tcPr>
            <w:tcW w:w="78" w:type="dxa"/>
          </w:tcPr>
          <w:p>
            <w:pPr>
              <w:pStyle w:val="EmptyCellLayoutStyle"/>
              <w:spacing w:after="0" w:line="240" w:lineRule="auto"/>
            </w:pPr>
          </w:p>
        </w:tc>
      </w:tr>
      <w:tr>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8"/>
              <w:gridCol w:w="1417"/>
              <w:gridCol w:w="1417"/>
              <w:gridCol w:w="1271"/>
              <w:gridCol w:w="1417"/>
              <w:gridCol w:w="1822"/>
              <w:gridCol w:w="1417"/>
              <w:gridCol w:w="892"/>
              <w:gridCol w:w="997"/>
              <w:gridCol w:w="967"/>
              <w:gridCol w:w="1417"/>
              <w:gridCol w:w="907"/>
              <w:gridCol w:w="937"/>
              <w:gridCol w:w="2251"/>
              <w:gridCol w:w="1012"/>
            </w:tblGrid>
            <w:tr>
              <w:trPr>
                <w:trHeight w:val="1327" w:hRule="atLeast"/>
              </w:trPr>
              <w:tc>
                <w:tcPr>
                  <w:tcW w:w="368"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Rbr</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1271"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Brojčana oznaka premeta nabave iz CPV-a</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Procijenjena vrijednost nabave (u kunama)</w:t>
                  </w:r>
                </w:p>
              </w:tc>
              <w:tc>
                <w:tcPr>
                  <w:tcW w:w="182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(uključujući jednostavne nabave)</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Posebni režim nabave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podijeljen na grupe</w:t>
                  </w:r>
                </w:p>
              </w:tc>
              <w:tc>
                <w:tcPr>
                  <w:tcW w:w="99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Sklapa se Ugovor/okvirni sporazum</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Planirani početak postupka</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Planirano trajanje ugovora ili okvirnog sporazuma</w:t>
                  </w:r>
                </w:p>
              </w:tc>
              <w:tc>
                <w:tcPr>
                  <w:tcW w:w="90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Vrijedi od</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Vrijedi do</w:t>
                  </w:r>
                </w:p>
              </w:tc>
              <w:tc>
                <w:tcPr>
                  <w:tcW w:w="2251"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Status promjene</w:t>
                  </w: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09310000-5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 Ugovor je sklopljen 1.02.2018 i vrijedi 24 mjeseca. Okvirni sporazum sklopljen 04.01.2018.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Gorivo - lož ulje</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09100000-0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 Ugovor je sklopljen 18.02.2019-17.02.2020.Okvirni sporazum je na 3. godine, dakle ugovor se produžava.</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Elrktroničke komunikacijske usluge u pokretnoj mreži i oprema za korištenje istih</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 kvartal</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kategoriju.Ugovor je sklopljen 19.09.2018. na 2 godine. Okvirni sporazum je sklopljen 14.06.2018 i traje 2.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422220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Elrktroničke komunikacijske usluge u nepokretnoj mreži i oprema za korištenje istih</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 proveo Središnji državni ured za središnju javnu nabavu. Ugovor je sklopljen sa Optima Telekomom d.d. 16.04.2019, međutim nikad nije realiziran već uslugu ostavruje Iskon. Okvirni sporazum sklopljen 01.02.2018 na razdoblje od 3.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primjenjivo</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Poštanske usluge u unutarnjem i međunarodnom prometu</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Društvene i posebne usluge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SDUSJN</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nabave provodi Središnji državni ured za središnju javnu nabavu. Procijenjena vrijednost je iznos koji ovaj naručitelj planira na godišnjoj razini za predmetnu nabavnu kategoriju.Ugovor je sklopljen 25.02.2018-29.02.2020.Okvirni sporazum sklopljen 5.01.2018 na razdoblje od 2.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knjižnice</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174.285,00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Kupnja knjiga od više dobavljača što tuzemnih što inozemnih, a sve zavisi od potreba tijekomgodine, a koje iskažu korisnici Knjižnice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30200000-1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čuvanja imovine i osoba - čuvarske usluge</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79713000-5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grijanje/hlađenje/ventilaciju</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39715200-9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33.600,00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39130000-2 </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student servisa</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79600000-0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Računalni programi</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72212650-0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134.400,00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Intelektualne i osobne usluge</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79300000-7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Komunalne usluge</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65000000-3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154.867,00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Službena putovanja i usavršavanje djelatnika</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80522000-9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43.200,00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Premije osiguranja</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62" w:hRule="atLeast"/>
              </w:trPr>
              <w:tc>
                <w:tcPr>
                  <w:tcW w:w="368" w:type="dxa"/>
                  <w:tcBorders>
                    <w:top w:val="single" w:color="000000" w:sz="7"/>
                    <w:left w:val="single" w:color="000000" w:sz="7"/>
                    <w:bottom w:val="single" w:color="000000" w:sz="7"/>
                    <w:right w:val="single"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održavanaj</w:t>
                  </w:r>
                </w:p>
              </w:tc>
              <w:tc>
                <w:tcPr>
                  <w:tcW w:w="127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82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Postupak jednostavne nabave</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w:t>
                  </w:r>
                </w:p>
              </w:tc>
              <w:tc>
                <w:tcPr>
                  <w:tcW w:w="9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251"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Tijekom 2020. godine</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r>
          </w:tbl>
          <w:p>
            <w:pPr>
              <w:spacing w:after="0" w:line="240" w:lineRule="auto"/>
            </w:pPr>
          </w:p>
        </w:tc>
        <w:tc>
          <w:tcPr>
            <w:tcW w:w="33" w:type="dxa"/>
            <w:hMerge w:val="continue"/>
          </w:tcPr>
          <w:p>
            <w:pPr>
              <w:pStyle w:val="EmptyCellLayoutStyle"/>
              <w:spacing w:after="0" w:line="240" w:lineRule="auto"/>
            </w:pPr>
          </w:p>
        </w:tc>
        <w:tc>
          <w:tcPr>
            <w:tcW w:w="78"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p>
            <w:pPr>
              <w:pStyle w:val="EmptyCellLayoutStyle"/>
              <w:spacing w:after="0" w:line="240" w:lineRule="auto"/>
            </w:pPr>
          </w:p>
        </w:tc>
        <w:tc>
          <w:tcPr>
            <w:tcW w:w="33" w:type="dxa"/>
          </w:tcPr>
          <w:p>
            <w:pPr>
              <w:pStyle w:val="EmptyCellLayoutStyle"/>
              <w:spacing w:after="0" w:line="240" w:lineRule="auto"/>
            </w:pPr>
          </w:p>
        </w:tc>
        <w:tc>
          <w:tcPr>
            <w:tcW w:w="78" w:type="dxa"/>
          </w:tcPr>
          <w:p>
            <w:pPr>
              <w:pStyle w:val="EmptyCellLayoutStyle"/>
              <w:spacing w:after="0" w:line="240" w:lineRule="auto"/>
            </w:pPr>
          </w:p>
        </w:tc>
      </w:tr>
      <w:tr>
        <w:trPr>
          <w:trHeight w:val="360" w:hRule="atLeast"/>
        </w:trPr>
        <w:tc>
          <w:tcPr>
            <w:tcW w:w="3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18488"/>
            </w:tblGrid>
            <w:tr>
              <w:trPr>
                <w:trHeight w:val="282" w:hRule="atLeast"/>
              </w:trPr>
              <w:tc>
                <w:tcPr>
                  <w:tcW w:w="1848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zadnje izmjene plana: 19.12.2019 13:03</w:t>
                  </w:r>
                </w:p>
              </w:tc>
            </w:tr>
          </w:tbl>
          <w:p>
            <w:pPr>
              <w:spacing w:after="0" w:line="240" w:lineRule="auto"/>
            </w:pPr>
          </w:p>
        </w:tc>
        <w:tc>
          <w:tcPr>
            <w:tcW w:w="18480" w:type="dxa"/>
            <w:hMerge w:val="continue"/>
          </w:tcPr>
          <w:p>
            <w:pPr>
              <w:pStyle w:val="EmptyCellLayoutStyle"/>
              <w:spacing w:after="0" w:line="240" w:lineRule="auto"/>
            </w:pPr>
          </w:p>
        </w:tc>
        <w:tc>
          <w:tcPr>
            <w:tcW w:w="33" w:type="dxa"/>
          </w:tcPr>
          <w:p>
            <w:pPr>
              <w:pStyle w:val="EmptyCellLayoutStyle"/>
              <w:spacing w:after="0" w:line="240" w:lineRule="auto"/>
            </w:pPr>
          </w:p>
        </w:tc>
        <w:tc>
          <w:tcPr>
            <w:tcW w:w="78" w:type="dxa"/>
          </w:tcPr>
          <w:p>
            <w:pPr>
              <w:pStyle w:val="EmptyCellLayoutStyle"/>
              <w:spacing w:after="0" w:line="240" w:lineRule="auto"/>
            </w:pPr>
          </w:p>
        </w:tc>
      </w:tr>
      <w:tr>
        <w:trPr>
          <w:trHeight w:val="60" w:hRule="atLeast"/>
        </w:trPr>
        <w:tc>
          <w:tcPr>
            <w:tcW w:w="35" w:type="dxa"/>
          </w:tcPr>
          <w:p>
            <w:pPr>
              <w:pStyle w:val="EmptyCellLayoutStyle"/>
              <w:spacing w:after="0" w:line="240" w:lineRule="auto"/>
            </w:pPr>
          </w:p>
        </w:tc>
        <w:tc>
          <w:tcPr>
            <w:tcW w:w="7" w:type="dxa"/>
          </w:tcPr>
          <w:p>
            <w:pPr>
              <w:pStyle w:val="EmptyCellLayoutStyle"/>
              <w:spacing w:after="0" w:line="240" w:lineRule="auto"/>
            </w:pPr>
          </w:p>
        </w:tc>
        <w:tc>
          <w:tcPr>
            <w:tcW w:w="18480" w:type="dxa"/>
          </w:tcPr>
          <w:p>
            <w:pPr>
              <w:pStyle w:val="EmptyCellLayoutStyle"/>
              <w:spacing w:after="0" w:line="240" w:lineRule="auto"/>
            </w:pPr>
          </w:p>
        </w:tc>
        <w:tc>
          <w:tcPr>
            <w:tcW w:w="33" w:type="dxa"/>
          </w:tcPr>
          <w:p>
            <w:pPr>
              <w:pStyle w:val="EmptyCellLayoutStyle"/>
              <w:spacing w:after="0" w:line="240" w:lineRule="auto"/>
            </w:pPr>
          </w:p>
        </w:tc>
        <w:tc>
          <w:tcPr>
            <w:tcW w:w="78" w:type="dxa"/>
          </w:tcPr>
          <w:p>
            <w:pPr>
              <w:pStyle w:val="EmptyCellLayoutStyle"/>
              <w:spacing w:after="0" w:line="240" w:lineRule="auto"/>
            </w:pPr>
          </w:p>
        </w:tc>
      </w:tr>
      <w:tr>
        <w:trPr>
          <w:trHeight w:val="360" w:hRule="atLeast"/>
        </w:trPr>
        <w:tc>
          <w:tcPr>
            <w:tcW w:w="35"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18488"/>
            </w:tblGrid>
            <w:tr>
              <w:trPr>
                <w:trHeight w:val="282" w:hRule="atLeast"/>
              </w:trPr>
              <w:tc>
                <w:tcPr>
                  <w:tcW w:w="1848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objave plana nabave: 19.12.2019 13:03</w:t>
                  </w:r>
                </w:p>
              </w:tc>
            </w:tr>
          </w:tbl>
          <w:p>
            <w:pPr>
              <w:spacing w:after="0" w:line="240" w:lineRule="auto"/>
            </w:pPr>
          </w:p>
        </w:tc>
        <w:tc>
          <w:tcPr>
            <w:tcW w:w="18480" w:type="dxa"/>
            <w:hMerge w:val="continue"/>
          </w:tcPr>
          <w:p>
            <w:pPr>
              <w:pStyle w:val="EmptyCellLayoutStyle"/>
              <w:spacing w:after="0" w:line="240" w:lineRule="auto"/>
            </w:pPr>
          </w:p>
        </w:tc>
        <w:tc>
          <w:tcPr>
            <w:tcW w:w="33" w:type="dxa"/>
          </w:tcPr>
          <w:p>
            <w:pPr>
              <w:pStyle w:val="EmptyCellLayoutStyle"/>
              <w:spacing w:after="0" w:line="240" w:lineRule="auto"/>
            </w:pPr>
          </w:p>
        </w:tc>
        <w:tc>
          <w:tcPr>
            <w:tcW w:w="78"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19768" w:h="11908"/>
      <w:pgMar w:top="566" w:right="566" w:bottom="566" w:left="566"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8556"/>
      <w:gridCol w:w="78"/>
    </w:tblGrid>
    <w:tr>
      <w:trPr/>
      <w:tc>
        <w:tcPr>
          <w:tcW w:w="18556" w:type="dxa"/>
        </w:tcPr>
        <w:p>
          <w:pPr>
            <w:pStyle w:val="EmptyCellLayoutStyle"/>
            <w:spacing w:after="0" w:line="240" w:lineRule="auto"/>
          </w:pPr>
        </w:p>
      </w:tc>
      <w:tc>
        <w:tcPr>
          <w:tcW w:w="78" w:type="dxa"/>
        </w:tcPr>
        <w:p>
          <w:pPr>
            <w:pStyle w:val="EmptyCellLayoutStyle"/>
            <w:spacing w:after="0" w:line="240" w:lineRule="auto"/>
          </w:pPr>
        </w:p>
      </w:tc>
    </w:tr>
    <w:tr>
      <w:trPr/>
      <w:tc>
        <w:tcPr>
          <w:tcW w:w="18556" w:type="dxa"/>
        </w:tcPr>
        <w:tbl>
          <w:tblPr>
            <w:tblCellMar>
              <w:top w:w="0" w:type="dxa"/>
              <w:left w:w="0" w:type="dxa"/>
              <w:bottom w:w="0" w:type="dxa"/>
              <w:right w:w="0" w:type="dxa"/>
            </w:tblCellMar>
          </w:tblPr>
          <w:tblGrid>
            <w:gridCol w:w="18556"/>
          </w:tblGrid>
          <w:tr>
            <w:trPr>
              <w:trHeight w:val="262" w:hRule="atLeast"/>
            </w:trPr>
            <w:tc>
              <w:tcPr>
                <w:tcW w:w="1855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78" w:type="dxa"/>
        </w:tcPr>
        <w:p>
          <w:pPr>
            <w:pStyle w:val="EmptyCellLayoutStyle"/>
            <w:spacing w:after="0" w:line="240" w:lineRule="auto"/>
          </w:pPr>
        </w:p>
      </w:tc>
    </w:tr>
    <w:tr>
      <w:trPr/>
      <w:tc>
        <w:tcPr>
          <w:tcW w:w="18556" w:type="dxa"/>
        </w:tcPr>
        <w:p>
          <w:pPr>
            <w:pStyle w:val="EmptyCellLayoutStyle"/>
            <w:spacing w:after="0" w:line="240" w:lineRule="auto"/>
          </w:pPr>
        </w:p>
      </w:tc>
      <w:tc>
        <w:tcPr>
          <w:tcW w:w="78"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195"/>
      <w:gridCol w:w="17285"/>
      <w:gridCol w:w="118"/>
    </w:tblGrid>
    <w:tr>
      <w:trPr/>
      <w:tc>
        <w:tcPr>
          <w:tcW w:w="35" w:type="dxa"/>
        </w:tcPr>
        <w:p>
          <w:pPr>
            <w:pStyle w:val="EmptyCellLayoutStyle"/>
            <w:spacing w:after="0" w:line="240" w:lineRule="auto"/>
          </w:pPr>
        </w:p>
      </w:tc>
      <w:tc>
        <w:tcPr>
          <w:tcW w:w="1195" w:type="dxa"/>
        </w:tcPr>
        <w:p>
          <w:pPr>
            <w:pStyle w:val="EmptyCellLayoutStyle"/>
            <w:spacing w:after="0" w:line="240" w:lineRule="auto"/>
          </w:pPr>
        </w:p>
      </w:tc>
      <w:tc>
        <w:tcPr>
          <w:tcW w:w="17285" w:type="dxa"/>
        </w:tcPr>
        <w:p>
          <w:pPr>
            <w:pStyle w:val="EmptyCellLayoutStyle"/>
            <w:spacing w:after="0" w:line="240" w:lineRule="auto"/>
          </w:pPr>
        </w:p>
      </w:tc>
      <w:tc>
        <w:tcPr>
          <w:tcW w:w="118" w:type="dxa"/>
        </w:tcPr>
        <w:p>
          <w:pPr>
            <w:pStyle w:val="EmptyCellLayoutStyle"/>
            <w:spacing w:after="0" w:line="240" w:lineRule="auto"/>
          </w:pPr>
        </w:p>
      </w:tc>
    </w:tr>
    <w:tr>
      <w:trPr/>
      <w:tc>
        <w:tcPr>
          <w:tcW w:w="35" w:type="dxa"/>
        </w:tcPr>
        <w:p>
          <w:pPr>
            <w:pStyle w:val="EmptyCellLayoutStyle"/>
            <w:spacing w:after="0" w:line="240" w:lineRule="auto"/>
          </w:pPr>
        </w:p>
      </w:tc>
      <w:tc>
        <w:tcPr>
          <w:tcW w:w="1195"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59074" cy="253024"/>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59074" cy="253024"/>
                        </a:xfrm>
                        <a:prstGeom prst="rect">
                          <a:avLst/>
                        </a:prstGeom>
                      </pic:spPr>
                    </pic:pic>
                  </a:graphicData>
                </a:graphic>
              </wp:inline>
            </w:drawing>
          </w:r>
        </w:p>
      </w:tc>
      <w:tc>
        <w:tcPr>
          <w:tcW w:w="17285" w:type="dxa"/>
        </w:tcPr>
        <w:p>
          <w:pPr>
            <w:pStyle w:val="EmptyCellLayoutStyle"/>
            <w:spacing w:after="0" w:line="240" w:lineRule="auto"/>
          </w:pPr>
        </w:p>
      </w:tc>
      <w:tc>
        <w:tcPr>
          <w:tcW w:w="118" w:type="dxa"/>
        </w:tcPr>
        <w:p>
          <w:pPr>
            <w:pStyle w:val="EmptyCellLayoutStyle"/>
            <w:spacing w:after="0" w:line="240" w:lineRule="auto"/>
          </w:pPr>
        </w:p>
      </w:tc>
    </w:tr>
    <w:tr>
      <w:trPr/>
      <w:tc>
        <w:tcPr>
          <w:tcW w:w="35" w:type="dxa"/>
        </w:tcPr>
        <w:p>
          <w:pPr>
            <w:pStyle w:val="EmptyCellLayoutStyle"/>
            <w:spacing w:after="0" w:line="240" w:lineRule="auto"/>
          </w:pPr>
        </w:p>
      </w:tc>
      <w:tc>
        <w:tcPr>
          <w:tcW w:w="1195" w:type="dxa"/>
          <w:vMerge w:val="continue"/>
        </w:tcPr>
        <w:p>
          <w:pPr>
            <w:pStyle w:val="EmptyCellLayoutStyle"/>
            <w:spacing w:after="0" w:line="240" w:lineRule="auto"/>
          </w:pPr>
        </w:p>
      </w:tc>
      <w:tc>
        <w:tcPr>
          <w:tcW w:w="17285" w:type="dxa"/>
        </w:tcPr>
        <w:tbl>
          <w:tblPr>
            <w:tblCellMar>
              <w:top w:w="0" w:type="dxa"/>
              <w:left w:w="0" w:type="dxa"/>
              <w:bottom w:w="0" w:type="dxa"/>
              <w:right w:w="0" w:type="dxa"/>
            </w:tblCellMar>
          </w:tblPr>
          <w:tblGrid>
            <w:gridCol w:w="17285"/>
          </w:tblGrid>
          <w:tr>
            <w:trPr>
              <w:trHeight w:val="262" w:hRule="atLeast"/>
            </w:trPr>
            <w:tc>
              <w:tcPr>
                <w:tcW w:w="1728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PLAN NABAVE</w:t>
                </w:r>
              </w:p>
            </w:tc>
          </w:tr>
        </w:tbl>
        <w:p>
          <w:pPr>
            <w:spacing w:after="0" w:line="240" w:lineRule="auto"/>
          </w:pPr>
        </w:p>
      </w:tc>
      <w:tc>
        <w:tcPr>
          <w:tcW w:w="118" w:type="dxa"/>
        </w:tcPr>
        <w:p>
          <w:pPr>
            <w:pStyle w:val="EmptyCellLayoutStyle"/>
            <w:spacing w:after="0" w:line="240" w:lineRule="auto"/>
          </w:pPr>
        </w:p>
      </w:tc>
    </w:tr>
    <w:tr>
      <w:trPr/>
      <w:tc>
        <w:tcPr>
          <w:tcW w:w="35" w:type="dxa"/>
        </w:tcPr>
        <w:p>
          <w:pPr>
            <w:pStyle w:val="EmptyCellLayoutStyle"/>
            <w:spacing w:after="0" w:line="240" w:lineRule="auto"/>
          </w:pPr>
        </w:p>
      </w:tc>
      <w:tc>
        <w:tcPr>
          <w:tcW w:w="1195" w:type="dxa"/>
        </w:tcPr>
        <w:p>
          <w:pPr>
            <w:pStyle w:val="EmptyCellLayoutStyle"/>
            <w:spacing w:after="0" w:line="240" w:lineRule="auto"/>
          </w:pPr>
        </w:p>
      </w:tc>
      <w:tc>
        <w:tcPr>
          <w:tcW w:w="17285" w:type="dxa"/>
        </w:tcPr>
        <w:p>
          <w:pPr>
            <w:pStyle w:val="EmptyCellLayoutStyle"/>
            <w:spacing w:after="0" w:line="240" w:lineRule="auto"/>
          </w:pPr>
        </w:p>
      </w:tc>
      <w:tc>
        <w:tcPr>
          <w:tcW w:w="118"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num w:numId="1">
    <w:abstractNumId w:val="0"/>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Rpt_PlanNabave</dc:title>
</cp:coreProperties>
</file>